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72CD" w14:textId="7B505723" w:rsidR="00E66B15" w:rsidRPr="00D92FC6" w:rsidRDefault="00011B84" w:rsidP="0006014A">
      <w:pPr>
        <w:spacing w:after="0" w:line="240" w:lineRule="auto"/>
        <w:rPr>
          <w:sz w:val="24"/>
          <w:szCs w:val="24"/>
        </w:rPr>
      </w:pPr>
      <w:r w:rsidRPr="0006014A">
        <w:rPr>
          <w:b/>
          <w:bCs/>
          <w:sz w:val="24"/>
          <w:szCs w:val="24"/>
        </w:rPr>
        <w:t>Nume proiect</w:t>
      </w:r>
      <w:r w:rsidR="00D92FC6">
        <w:rPr>
          <w:b/>
          <w:bCs/>
          <w:sz w:val="24"/>
          <w:szCs w:val="24"/>
        </w:rPr>
        <w:t xml:space="preserve">: </w:t>
      </w:r>
      <w:proofErr w:type="spellStart"/>
      <w:r w:rsidR="00664AC7">
        <w:rPr>
          <w:sz w:val="24"/>
          <w:szCs w:val="24"/>
        </w:rPr>
        <w:t>Playground</w:t>
      </w:r>
      <w:proofErr w:type="spellEnd"/>
      <w:r w:rsidR="00664AC7">
        <w:rPr>
          <w:sz w:val="24"/>
          <w:szCs w:val="24"/>
        </w:rPr>
        <w:t xml:space="preserve"> Cluj</w:t>
      </w:r>
      <w:r w:rsidR="00534CED">
        <w:rPr>
          <w:sz w:val="24"/>
          <w:szCs w:val="24"/>
        </w:rPr>
        <w:t xml:space="preserve"> </w:t>
      </w:r>
      <w:proofErr w:type="spellStart"/>
      <w:r w:rsidR="00534CED">
        <w:rPr>
          <w:sz w:val="24"/>
          <w:szCs w:val="24"/>
        </w:rPr>
        <w:t>App</w:t>
      </w:r>
      <w:proofErr w:type="spellEnd"/>
    </w:p>
    <w:p w14:paraId="0D1333EC" w14:textId="0F742E08" w:rsidR="00011B84" w:rsidRPr="0006014A" w:rsidRDefault="00011B84" w:rsidP="0006014A">
      <w:pPr>
        <w:spacing w:after="0" w:line="240" w:lineRule="auto"/>
        <w:rPr>
          <w:b/>
          <w:bCs/>
          <w:sz w:val="24"/>
          <w:szCs w:val="24"/>
        </w:rPr>
      </w:pPr>
    </w:p>
    <w:p w14:paraId="1A21B46F" w14:textId="148E68B3" w:rsidR="00011B84" w:rsidRPr="00A0070A" w:rsidRDefault="00011B84" w:rsidP="00662A2E">
      <w:pPr>
        <w:spacing w:after="0" w:line="240" w:lineRule="auto"/>
        <w:jc w:val="both"/>
        <w:rPr>
          <w:sz w:val="24"/>
          <w:szCs w:val="24"/>
        </w:rPr>
      </w:pPr>
      <w:r w:rsidRPr="0006014A">
        <w:rPr>
          <w:b/>
          <w:bCs/>
          <w:sz w:val="24"/>
          <w:szCs w:val="24"/>
        </w:rPr>
        <w:t>Descriere</w:t>
      </w:r>
      <w:r w:rsidR="009C10F5">
        <w:rPr>
          <w:b/>
          <w:bCs/>
          <w:sz w:val="24"/>
          <w:szCs w:val="24"/>
        </w:rPr>
        <w:t>:</w:t>
      </w:r>
      <w:r w:rsidR="00662A2E">
        <w:rPr>
          <w:sz w:val="24"/>
          <w:szCs w:val="24"/>
        </w:rPr>
        <w:t xml:space="preserve"> Răspunzând țintelor Strategiei Naționale </w:t>
      </w:r>
      <w:r w:rsidR="00577735">
        <w:rPr>
          <w:sz w:val="24"/>
          <w:szCs w:val="24"/>
        </w:rPr>
        <w:t>pentru</w:t>
      </w:r>
      <w:r w:rsidR="00662A2E">
        <w:rPr>
          <w:sz w:val="24"/>
          <w:szCs w:val="24"/>
        </w:rPr>
        <w:t xml:space="preserve"> Dezvoltare</w:t>
      </w:r>
      <w:r w:rsidR="00577735">
        <w:rPr>
          <w:sz w:val="24"/>
          <w:szCs w:val="24"/>
        </w:rPr>
        <w:t>a</w:t>
      </w:r>
      <w:r w:rsidR="00662A2E">
        <w:rPr>
          <w:sz w:val="24"/>
          <w:szCs w:val="24"/>
        </w:rPr>
        <w:t xml:space="preserve"> Durabilă</w:t>
      </w:r>
      <w:r w:rsidR="00577735">
        <w:rPr>
          <w:sz w:val="24"/>
          <w:szCs w:val="24"/>
        </w:rPr>
        <w:t xml:space="preserve"> a României 2030</w:t>
      </w:r>
      <w:r w:rsidR="00DF7DE5">
        <w:rPr>
          <w:sz w:val="24"/>
          <w:szCs w:val="24"/>
        </w:rPr>
        <w:t xml:space="preserve"> (Obiectivul 6. Asigurarea disponibilității și gestionării durabile a apei și sanitație pentru toți)</w:t>
      </w:r>
      <w:r w:rsidR="00E558E1">
        <w:rPr>
          <w:rStyle w:val="FootnoteReference"/>
          <w:sz w:val="24"/>
          <w:szCs w:val="24"/>
        </w:rPr>
        <w:footnoteReference w:id="1"/>
      </w:r>
      <w:r w:rsidR="00662A2E">
        <w:rPr>
          <w:sz w:val="24"/>
          <w:szCs w:val="24"/>
        </w:rPr>
        <w:t xml:space="preserve">, racordată la documentațiile internaționale (Strategia ONU 2030), </w:t>
      </w:r>
      <w:r w:rsidR="00782B26">
        <w:rPr>
          <w:sz w:val="24"/>
          <w:szCs w:val="24"/>
        </w:rPr>
        <w:t>dar și unei necesități locale, dacă ne raportăm la municipiul Cluj-Napoca</w:t>
      </w:r>
      <w:r w:rsidR="00E558E1">
        <w:rPr>
          <w:rStyle w:val="FootnoteReference"/>
          <w:sz w:val="24"/>
          <w:szCs w:val="24"/>
        </w:rPr>
        <w:footnoteReference w:id="2"/>
      </w:r>
      <w:r w:rsidR="00782B26">
        <w:rPr>
          <w:sz w:val="24"/>
          <w:szCs w:val="24"/>
        </w:rPr>
        <w:t xml:space="preserve">, </w:t>
      </w:r>
      <w:r w:rsidR="00FB7BDB">
        <w:rPr>
          <w:sz w:val="24"/>
          <w:szCs w:val="24"/>
        </w:rPr>
        <w:t xml:space="preserve">asigurarea acessului populației la resursa de apă este vitală. </w:t>
      </w:r>
      <w:r w:rsidR="001E3365">
        <w:rPr>
          <w:sz w:val="24"/>
          <w:szCs w:val="24"/>
        </w:rPr>
        <w:t>Scopul acestui proiect constă în implementarea unor cișmele de apă potabilă pentru spațiile de</w:t>
      </w:r>
      <w:r w:rsidR="00CD75F1">
        <w:rPr>
          <w:sz w:val="24"/>
          <w:szCs w:val="24"/>
        </w:rPr>
        <w:t xml:space="preserve"> </w:t>
      </w:r>
      <w:r w:rsidR="001E3365">
        <w:rPr>
          <w:sz w:val="24"/>
          <w:szCs w:val="24"/>
        </w:rPr>
        <w:t xml:space="preserve">joacă în aer liber din municipiul Cluj-Napoca. În acest sens, </w:t>
      </w:r>
      <w:r w:rsidR="00D1657A">
        <w:rPr>
          <w:sz w:val="24"/>
          <w:szCs w:val="24"/>
        </w:rPr>
        <w:t>se are în vedere: a). crearea unei aplicații online, cu posibilitatea adăugării de informații voluntare din partea populației</w:t>
      </w:r>
      <w:r w:rsidR="00446192">
        <w:rPr>
          <w:sz w:val="24"/>
          <w:szCs w:val="24"/>
        </w:rPr>
        <w:t xml:space="preserve"> (spații de joacă, locații pentru amplasare cișmele)</w:t>
      </w:r>
      <w:r w:rsidR="00D1657A">
        <w:rPr>
          <w:sz w:val="24"/>
          <w:szCs w:val="24"/>
        </w:rPr>
        <w:t xml:space="preserve">, pe modelul </w:t>
      </w:r>
      <w:r w:rsidR="00D8778A">
        <w:rPr>
          <w:sz w:val="24"/>
          <w:szCs w:val="24"/>
        </w:rPr>
        <w:t>generării conținutului de către voluntari</w:t>
      </w:r>
      <w:r w:rsidR="00954453">
        <w:rPr>
          <w:rStyle w:val="FootnoteReference"/>
          <w:sz w:val="24"/>
          <w:szCs w:val="24"/>
        </w:rPr>
        <w:footnoteReference w:id="3"/>
      </w:r>
      <w:r w:rsidR="00D1657A">
        <w:rPr>
          <w:sz w:val="24"/>
          <w:szCs w:val="24"/>
        </w:rPr>
        <w:t xml:space="preserve">, a spațiilor de joacă în aer liber din municipiul Cluj-Napoca, b). </w:t>
      </w:r>
      <w:r w:rsidR="00583D3A">
        <w:rPr>
          <w:sz w:val="24"/>
          <w:szCs w:val="24"/>
        </w:rPr>
        <w:t xml:space="preserve">selectarea a 10 locații de amplasare </w:t>
      </w:r>
      <w:r w:rsidR="00446192">
        <w:rPr>
          <w:sz w:val="24"/>
          <w:szCs w:val="24"/>
        </w:rPr>
        <w:t xml:space="preserve">a cișmelelor cu apă potabilă </w:t>
      </w:r>
      <w:r w:rsidR="00583D3A">
        <w:rPr>
          <w:sz w:val="24"/>
          <w:szCs w:val="24"/>
        </w:rPr>
        <w:t>(care să acopere cât mai multe cartiere din municipiul Cluj-Napoca)</w:t>
      </w:r>
      <w:r w:rsidR="000D638E">
        <w:rPr>
          <w:sz w:val="24"/>
          <w:szCs w:val="24"/>
        </w:rPr>
        <w:t>; c). montarea a 10 camere de supraveghere video pentru asigurarea funcționării cișmelelor și evitarea apariției unor riscuri (furt, deteriorare etc.)</w:t>
      </w:r>
      <w:r w:rsidR="005E1B6D">
        <w:rPr>
          <w:sz w:val="24"/>
          <w:szCs w:val="24"/>
        </w:rPr>
        <w:t>. Aplicația va fi actualizată pe o durată de 5 ani.</w:t>
      </w:r>
    </w:p>
    <w:p w14:paraId="125A1D60" w14:textId="2625B109" w:rsidR="00011B84" w:rsidRPr="0006014A" w:rsidRDefault="00011B84" w:rsidP="0006014A">
      <w:pPr>
        <w:spacing w:after="0" w:line="240" w:lineRule="auto"/>
        <w:rPr>
          <w:b/>
          <w:bCs/>
          <w:sz w:val="24"/>
          <w:szCs w:val="24"/>
        </w:rPr>
      </w:pPr>
    </w:p>
    <w:p w14:paraId="0F0572D9" w14:textId="6156A1E2" w:rsidR="00011B84" w:rsidRPr="00C32918" w:rsidRDefault="00011B84" w:rsidP="00C32918">
      <w:pPr>
        <w:spacing w:after="0" w:line="240" w:lineRule="auto"/>
        <w:jc w:val="both"/>
        <w:rPr>
          <w:sz w:val="24"/>
          <w:szCs w:val="24"/>
        </w:rPr>
      </w:pPr>
      <w:r w:rsidRPr="0006014A">
        <w:rPr>
          <w:b/>
          <w:bCs/>
          <w:sz w:val="24"/>
          <w:szCs w:val="24"/>
        </w:rPr>
        <w:t>Amplasament</w:t>
      </w:r>
      <w:r w:rsidR="00D834BB">
        <w:rPr>
          <w:b/>
          <w:bCs/>
          <w:sz w:val="24"/>
          <w:szCs w:val="24"/>
        </w:rPr>
        <w:t>:</w:t>
      </w:r>
      <w:r w:rsidR="00C32918">
        <w:rPr>
          <w:sz w:val="24"/>
          <w:szCs w:val="24"/>
        </w:rPr>
        <w:t xml:space="preserve"> Cele 10 cișmele de apă potabilă vor fi amplasate în mai multe cartiere ale municipiului Cluj-Napoca pentru a deservi cât mai mulți locuitori, în spațiile de joacă în aer liber pentru copii ce nu dispun de o astfel de dotare.</w:t>
      </w:r>
    </w:p>
    <w:p w14:paraId="298EA3A0" w14:textId="77777777" w:rsidR="008D7843" w:rsidRPr="00D834BB" w:rsidRDefault="008D7843" w:rsidP="0006014A">
      <w:pPr>
        <w:spacing w:after="0" w:line="240" w:lineRule="auto"/>
        <w:rPr>
          <w:sz w:val="24"/>
          <w:szCs w:val="24"/>
        </w:rPr>
      </w:pPr>
    </w:p>
    <w:p w14:paraId="00C8BE26" w14:textId="775F9C33" w:rsidR="00FB3C10" w:rsidRPr="00FB3C10" w:rsidRDefault="00011B84" w:rsidP="005C22ED">
      <w:pPr>
        <w:spacing w:after="0" w:line="240" w:lineRule="auto"/>
        <w:jc w:val="both"/>
        <w:rPr>
          <w:sz w:val="24"/>
          <w:szCs w:val="24"/>
        </w:rPr>
      </w:pPr>
      <w:r w:rsidRPr="0006014A">
        <w:rPr>
          <w:b/>
          <w:bCs/>
          <w:sz w:val="24"/>
          <w:szCs w:val="24"/>
        </w:rPr>
        <w:t>Argumente</w:t>
      </w:r>
      <w:r w:rsidR="00D834BB">
        <w:rPr>
          <w:b/>
          <w:bCs/>
          <w:sz w:val="24"/>
          <w:szCs w:val="24"/>
        </w:rPr>
        <w:t>:</w:t>
      </w:r>
      <w:r w:rsidR="005C22ED">
        <w:rPr>
          <w:b/>
          <w:bCs/>
          <w:sz w:val="24"/>
          <w:szCs w:val="24"/>
        </w:rPr>
        <w:t xml:space="preserve"> </w:t>
      </w:r>
      <w:r w:rsidR="00FB3C10">
        <w:rPr>
          <w:sz w:val="24"/>
          <w:szCs w:val="24"/>
        </w:rPr>
        <w:t>Având în vedere scenariile prognozate pentru următorii ani vizând o acutizare a fenomenului de secetă și în conformitate cu efectele insulelor de căldură</w:t>
      </w:r>
      <w:r w:rsidR="00932CE4">
        <w:rPr>
          <w:sz w:val="24"/>
          <w:szCs w:val="24"/>
        </w:rPr>
        <w:t xml:space="preserve"> </w:t>
      </w:r>
      <w:r w:rsidR="008A27AC">
        <w:rPr>
          <w:sz w:val="24"/>
          <w:szCs w:val="24"/>
        </w:rPr>
        <w:t xml:space="preserve">urbană </w:t>
      </w:r>
      <w:r w:rsidR="00932CE4">
        <w:rPr>
          <w:sz w:val="24"/>
          <w:szCs w:val="24"/>
        </w:rPr>
        <w:t>întâlnite în mediile rezidențiale urbane (implicit Cluj-Napoca)</w:t>
      </w:r>
      <w:r w:rsidR="008A27AC">
        <w:rPr>
          <w:rStyle w:val="FootnoteReference"/>
          <w:sz w:val="24"/>
          <w:szCs w:val="24"/>
        </w:rPr>
        <w:footnoteReference w:id="4"/>
      </w:r>
      <w:r w:rsidR="00D77F9F">
        <w:rPr>
          <w:sz w:val="24"/>
          <w:szCs w:val="24"/>
        </w:rPr>
        <w:t xml:space="preserve">, </w:t>
      </w:r>
      <w:r w:rsidR="002F7161">
        <w:rPr>
          <w:sz w:val="24"/>
          <w:szCs w:val="24"/>
        </w:rPr>
        <w:t xml:space="preserve">necesitatea identificării unor surse de apă suplimentară în spațiul public clujean care să deservească populația devine o necesitate. Adițional, </w:t>
      </w:r>
      <w:r w:rsidR="000206DF">
        <w:rPr>
          <w:sz w:val="24"/>
          <w:szCs w:val="24"/>
        </w:rPr>
        <w:t>pentru creșterea calității vieții locuitorilor (cu precădere părinți și copii, dar nu numai), implementarea acestor surse suplimentare de apă potabilă va genera un confort suplimentar.</w:t>
      </w:r>
      <w:r w:rsidR="00730714">
        <w:rPr>
          <w:sz w:val="24"/>
          <w:szCs w:val="24"/>
        </w:rPr>
        <w:t xml:space="preserve"> Posibilitatea implicării cetățenilor în identificarea spațiilor de joacă în aer liber, prin intermediul aplicației creată, și a amplasării acestor cișmele, </w:t>
      </w:r>
      <w:r w:rsidR="00722855">
        <w:rPr>
          <w:sz w:val="24"/>
          <w:szCs w:val="24"/>
        </w:rPr>
        <w:t>se înscrie într-un model participativ de guvernanță urbană.</w:t>
      </w:r>
    </w:p>
    <w:p w14:paraId="12C8A95F" w14:textId="77777777" w:rsidR="00D834BB" w:rsidRPr="0006014A" w:rsidRDefault="00D834BB" w:rsidP="0006014A">
      <w:pPr>
        <w:spacing w:after="0" w:line="240" w:lineRule="auto"/>
        <w:rPr>
          <w:b/>
          <w:bCs/>
          <w:sz w:val="24"/>
          <w:szCs w:val="24"/>
        </w:rPr>
      </w:pPr>
    </w:p>
    <w:p w14:paraId="32D84256" w14:textId="17BA4218" w:rsidR="00011B84" w:rsidRDefault="00011B84" w:rsidP="0006014A">
      <w:pPr>
        <w:spacing w:after="0" w:line="240" w:lineRule="auto"/>
        <w:rPr>
          <w:b/>
          <w:bCs/>
          <w:sz w:val="24"/>
          <w:szCs w:val="24"/>
        </w:rPr>
      </w:pPr>
      <w:r w:rsidRPr="0006014A">
        <w:rPr>
          <w:b/>
          <w:bCs/>
          <w:sz w:val="24"/>
          <w:szCs w:val="24"/>
        </w:rPr>
        <w:t>Estimarea bugetului proiectului</w:t>
      </w:r>
      <w:r w:rsidR="00A66463">
        <w:rPr>
          <w:b/>
          <w:bCs/>
          <w:sz w:val="24"/>
          <w:szCs w:val="24"/>
        </w:rPr>
        <w:t xml:space="preserve"> (în EUR)</w:t>
      </w:r>
      <w:r w:rsidR="009C10F5">
        <w:rPr>
          <w:b/>
          <w:bCs/>
          <w:sz w:val="24"/>
          <w:szCs w:val="24"/>
        </w:rPr>
        <w:t>:</w:t>
      </w:r>
      <w:r w:rsidR="00A37C79">
        <w:rPr>
          <w:b/>
          <w:bCs/>
          <w:sz w:val="24"/>
          <w:szCs w:val="24"/>
        </w:rPr>
        <w:t xml:space="preserve"> </w:t>
      </w:r>
      <w:r w:rsidR="00A37C79" w:rsidRPr="00A37C79">
        <w:rPr>
          <w:sz w:val="24"/>
          <w:szCs w:val="24"/>
        </w:rPr>
        <w:t>26.500 EUR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6"/>
        <w:gridCol w:w="1491"/>
        <w:gridCol w:w="1135"/>
        <w:gridCol w:w="1547"/>
        <w:gridCol w:w="1377"/>
      </w:tblGrid>
      <w:tr w:rsidR="00A66463" w:rsidRPr="0039297E" w14:paraId="3AB6639B" w14:textId="795C00E9" w:rsidTr="00426909">
        <w:tc>
          <w:tcPr>
            <w:tcW w:w="3466" w:type="dxa"/>
          </w:tcPr>
          <w:p w14:paraId="29CDD6F3" w14:textId="2910E9A5" w:rsidR="00A66463" w:rsidRPr="0039297E" w:rsidRDefault="00A66463" w:rsidP="00D834BB">
            <w:pPr>
              <w:jc w:val="center"/>
              <w:rPr>
                <w:b/>
                <w:bCs/>
              </w:rPr>
            </w:pPr>
            <w:r w:rsidRPr="0039297E">
              <w:rPr>
                <w:b/>
                <w:bCs/>
              </w:rPr>
              <w:t>Tip cheltuieli</w:t>
            </w:r>
          </w:p>
        </w:tc>
        <w:tc>
          <w:tcPr>
            <w:tcW w:w="1491" w:type="dxa"/>
          </w:tcPr>
          <w:p w14:paraId="243065E6" w14:textId="620E84F9" w:rsidR="00A66463" w:rsidRPr="0039297E" w:rsidRDefault="00A66463" w:rsidP="00D834BB">
            <w:pPr>
              <w:jc w:val="center"/>
              <w:rPr>
                <w:b/>
                <w:bCs/>
              </w:rPr>
            </w:pPr>
            <w:r w:rsidRPr="0039297E">
              <w:rPr>
                <w:b/>
                <w:bCs/>
              </w:rPr>
              <w:t>Unitate de măsură</w:t>
            </w:r>
          </w:p>
        </w:tc>
        <w:tc>
          <w:tcPr>
            <w:tcW w:w="1135" w:type="dxa"/>
          </w:tcPr>
          <w:p w14:paraId="4721E891" w14:textId="2E4793AF" w:rsidR="00A66463" w:rsidRPr="0039297E" w:rsidRDefault="00A66463" w:rsidP="00D834BB">
            <w:pPr>
              <w:jc w:val="center"/>
              <w:rPr>
                <w:b/>
                <w:bCs/>
              </w:rPr>
            </w:pPr>
            <w:r w:rsidRPr="0039297E">
              <w:rPr>
                <w:b/>
                <w:bCs/>
              </w:rPr>
              <w:t>Cantitate</w:t>
            </w:r>
          </w:p>
        </w:tc>
        <w:tc>
          <w:tcPr>
            <w:tcW w:w="1547" w:type="dxa"/>
          </w:tcPr>
          <w:p w14:paraId="58BBE112" w14:textId="68546EDC" w:rsidR="00A66463" w:rsidRPr="0039297E" w:rsidRDefault="00A66463" w:rsidP="00D834BB">
            <w:pPr>
              <w:jc w:val="center"/>
              <w:rPr>
                <w:b/>
                <w:bCs/>
              </w:rPr>
            </w:pPr>
            <w:r w:rsidRPr="0039297E">
              <w:rPr>
                <w:b/>
                <w:bCs/>
              </w:rPr>
              <w:t>Cost unitar</w:t>
            </w:r>
            <w:r w:rsidR="00426909" w:rsidRPr="0039297E">
              <w:rPr>
                <w:b/>
                <w:bCs/>
              </w:rPr>
              <w:t xml:space="preserve"> EUR (fără TVA)</w:t>
            </w:r>
          </w:p>
        </w:tc>
        <w:tc>
          <w:tcPr>
            <w:tcW w:w="1377" w:type="dxa"/>
          </w:tcPr>
          <w:p w14:paraId="0CF24F29" w14:textId="21BE2E5F" w:rsidR="00A66463" w:rsidRPr="0039297E" w:rsidRDefault="00A66463" w:rsidP="00D834BB">
            <w:pPr>
              <w:jc w:val="center"/>
              <w:rPr>
                <w:b/>
                <w:bCs/>
              </w:rPr>
            </w:pPr>
            <w:r w:rsidRPr="0039297E">
              <w:rPr>
                <w:b/>
                <w:bCs/>
              </w:rPr>
              <w:t>Cost total</w:t>
            </w:r>
            <w:r w:rsidR="00426909" w:rsidRPr="0039297E">
              <w:rPr>
                <w:b/>
                <w:bCs/>
              </w:rPr>
              <w:t xml:space="preserve"> EUR</w:t>
            </w:r>
          </w:p>
          <w:p w14:paraId="599BE287" w14:textId="57F06D29" w:rsidR="00426909" w:rsidRPr="0039297E" w:rsidRDefault="00426909" w:rsidP="00D834BB">
            <w:pPr>
              <w:jc w:val="center"/>
              <w:rPr>
                <w:b/>
                <w:bCs/>
              </w:rPr>
            </w:pPr>
            <w:r w:rsidRPr="0039297E">
              <w:rPr>
                <w:b/>
                <w:bCs/>
              </w:rPr>
              <w:t>(fără TVA)</w:t>
            </w:r>
          </w:p>
        </w:tc>
      </w:tr>
      <w:tr w:rsidR="00A66463" w:rsidRPr="0039297E" w14:paraId="6E591976" w14:textId="4C4E46DC" w:rsidTr="00426909">
        <w:tc>
          <w:tcPr>
            <w:tcW w:w="3466" w:type="dxa"/>
          </w:tcPr>
          <w:p w14:paraId="0217F2A6" w14:textId="7A3E4C10" w:rsidR="00A66463" w:rsidRPr="0039297E" w:rsidRDefault="00FB6E43" w:rsidP="0006014A">
            <w:r w:rsidRPr="0039297E">
              <w:t xml:space="preserve">Cișmea </w:t>
            </w:r>
            <w:r w:rsidR="00C26DAD" w:rsidRPr="0039297E">
              <w:t xml:space="preserve">de apă potabilă </w:t>
            </w:r>
            <w:r w:rsidRPr="0039297E">
              <w:t>(proiectare, model, montare, contor, racord, manoperă)</w:t>
            </w:r>
          </w:p>
        </w:tc>
        <w:tc>
          <w:tcPr>
            <w:tcW w:w="1491" w:type="dxa"/>
          </w:tcPr>
          <w:p w14:paraId="004A5539" w14:textId="71B61A07" w:rsidR="00A66463" w:rsidRPr="0039297E" w:rsidRDefault="00A66463" w:rsidP="000D689A">
            <w:pPr>
              <w:jc w:val="center"/>
            </w:pPr>
            <w:r w:rsidRPr="0039297E">
              <w:t>buc</w:t>
            </w:r>
          </w:p>
        </w:tc>
        <w:tc>
          <w:tcPr>
            <w:tcW w:w="1135" w:type="dxa"/>
          </w:tcPr>
          <w:p w14:paraId="0FE92426" w14:textId="204A2123" w:rsidR="00A66463" w:rsidRPr="0039297E" w:rsidRDefault="00A66463" w:rsidP="00FB6E43">
            <w:pPr>
              <w:jc w:val="right"/>
            </w:pPr>
            <w:r w:rsidRPr="0039297E">
              <w:t>10</w:t>
            </w:r>
          </w:p>
        </w:tc>
        <w:tc>
          <w:tcPr>
            <w:tcW w:w="1547" w:type="dxa"/>
          </w:tcPr>
          <w:p w14:paraId="6BC48CC4" w14:textId="354BBF95" w:rsidR="00A66463" w:rsidRPr="0039297E" w:rsidRDefault="00FB6E43" w:rsidP="00FB6E43">
            <w:pPr>
              <w:jc w:val="right"/>
            </w:pPr>
            <w:r w:rsidRPr="0039297E">
              <w:t>1.500</w:t>
            </w:r>
          </w:p>
        </w:tc>
        <w:tc>
          <w:tcPr>
            <w:tcW w:w="1377" w:type="dxa"/>
          </w:tcPr>
          <w:p w14:paraId="72013C63" w14:textId="016C5D81" w:rsidR="00A66463" w:rsidRPr="0039297E" w:rsidRDefault="00FB6E43" w:rsidP="00FB6E43">
            <w:pPr>
              <w:jc w:val="right"/>
            </w:pPr>
            <w:r w:rsidRPr="0039297E">
              <w:t>15.000</w:t>
            </w:r>
          </w:p>
        </w:tc>
      </w:tr>
      <w:tr w:rsidR="00E232A5" w:rsidRPr="0039297E" w14:paraId="185A56B4" w14:textId="77777777" w:rsidTr="00426909">
        <w:tc>
          <w:tcPr>
            <w:tcW w:w="3466" w:type="dxa"/>
          </w:tcPr>
          <w:p w14:paraId="32F6425A" w14:textId="097B9803" w:rsidR="00E232A5" w:rsidRPr="0039297E" w:rsidRDefault="00B33060" w:rsidP="0006014A">
            <w:r w:rsidRPr="0039297E">
              <w:t>Licență software ArcGIS</w:t>
            </w:r>
            <w:r w:rsidR="00D50ADE" w:rsidRPr="0039297E">
              <w:t xml:space="preserve"> pentru 5 ani</w:t>
            </w:r>
            <w:r w:rsidRPr="0039297E">
              <w:t xml:space="preserve"> (</w:t>
            </w:r>
            <w:r w:rsidR="004C564A">
              <w:t xml:space="preserve">abonamentul este pentru 5 utilizatori și conține credite de </w:t>
            </w:r>
            <w:r w:rsidR="004C564A">
              <w:lastRenderedPageBreak/>
              <w:t>stocare și analiză a datelor în mediul online</w:t>
            </w:r>
            <w:r w:rsidRPr="0039297E">
              <w:t>)</w:t>
            </w:r>
          </w:p>
        </w:tc>
        <w:tc>
          <w:tcPr>
            <w:tcW w:w="1491" w:type="dxa"/>
          </w:tcPr>
          <w:p w14:paraId="2C5C533C" w14:textId="5A7B0F51" w:rsidR="00E232A5" w:rsidRPr="0039297E" w:rsidRDefault="00B33060" w:rsidP="00B33060">
            <w:pPr>
              <w:jc w:val="center"/>
            </w:pPr>
            <w:r w:rsidRPr="0039297E">
              <w:lastRenderedPageBreak/>
              <w:t>buc</w:t>
            </w:r>
          </w:p>
        </w:tc>
        <w:tc>
          <w:tcPr>
            <w:tcW w:w="1135" w:type="dxa"/>
          </w:tcPr>
          <w:p w14:paraId="6CF1E4C9" w14:textId="3E076BFF" w:rsidR="00E232A5" w:rsidRPr="0039297E" w:rsidRDefault="00B33060" w:rsidP="00FB6E43">
            <w:pPr>
              <w:jc w:val="right"/>
            </w:pPr>
            <w:r w:rsidRPr="0039297E">
              <w:t>1</w:t>
            </w:r>
          </w:p>
        </w:tc>
        <w:tc>
          <w:tcPr>
            <w:tcW w:w="1547" w:type="dxa"/>
          </w:tcPr>
          <w:p w14:paraId="16E2D182" w14:textId="211912E8" w:rsidR="00E232A5" w:rsidRPr="0039297E" w:rsidRDefault="00D50ADE" w:rsidP="00FB6E43">
            <w:pPr>
              <w:jc w:val="right"/>
            </w:pPr>
            <w:r w:rsidRPr="0039297E">
              <w:t>1.500</w:t>
            </w:r>
          </w:p>
        </w:tc>
        <w:tc>
          <w:tcPr>
            <w:tcW w:w="1377" w:type="dxa"/>
          </w:tcPr>
          <w:p w14:paraId="168C1DA7" w14:textId="6C7E848D" w:rsidR="00E232A5" w:rsidRPr="0039297E" w:rsidRDefault="00D50ADE" w:rsidP="00FB6E43">
            <w:pPr>
              <w:jc w:val="right"/>
            </w:pPr>
            <w:r w:rsidRPr="0039297E">
              <w:t>1.500</w:t>
            </w:r>
          </w:p>
        </w:tc>
      </w:tr>
      <w:tr w:rsidR="00A66463" w:rsidRPr="0039297E" w14:paraId="61BCFF0C" w14:textId="34769355" w:rsidTr="00426909">
        <w:tc>
          <w:tcPr>
            <w:tcW w:w="3466" w:type="dxa"/>
          </w:tcPr>
          <w:p w14:paraId="6B32C81D" w14:textId="6DEA89E4" w:rsidR="00A66463" w:rsidRPr="0039297E" w:rsidRDefault="00B33060" w:rsidP="0006014A">
            <w:r w:rsidRPr="0039297E">
              <w:t xml:space="preserve">Cameră </w:t>
            </w:r>
            <w:r w:rsidR="00711E6B" w:rsidRPr="0039297E">
              <w:t xml:space="preserve">de supraveghere </w:t>
            </w:r>
            <w:r w:rsidRPr="0039297E">
              <w:t>video (montare produs + produs)</w:t>
            </w:r>
          </w:p>
        </w:tc>
        <w:tc>
          <w:tcPr>
            <w:tcW w:w="1491" w:type="dxa"/>
          </w:tcPr>
          <w:p w14:paraId="1D4B74B3" w14:textId="6658EBEE" w:rsidR="00A66463" w:rsidRPr="0039297E" w:rsidRDefault="00B33060" w:rsidP="00B33060">
            <w:pPr>
              <w:jc w:val="center"/>
            </w:pPr>
            <w:r w:rsidRPr="0039297E">
              <w:t>buc</w:t>
            </w:r>
          </w:p>
        </w:tc>
        <w:tc>
          <w:tcPr>
            <w:tcW w:w="1135" w:type="dxa"/>
          </w:tcPr>
          <w:p w14:paraId="275F7A12" w14:textId="109C5280" w:rsidR="00A66463" w:rsidRPr="0039297E" w:rsidRDefault="00B33060" w:rsidP="00FB6E43">
            <w:pPr>
              <w:jc w:val="right"/>
            </w:pPr>
            <w:r w:rsidRPr="0039297E">
              <w:t>10</w:t>
            </w:r>
          </w:p>
        </w:tc>
        <w:tc>
          <w:tcPr>
            <w:tcW w:w="1547" w:type="dxa"/>
          </w:tcPr>
          <w:p w14:paraId="1633F14E" w14:textId="2EEF1E82" w:rsidR="00A66463" w:rsidRPr="0039297E" w:rsidRDefault="00A33D92" w:rsidP="00FB6E43">
            <w:pPr>
              <w:jc w:val="right"/>
            </w:pPr>
            <w:r w:rsidRPr="0039297E">
              <w:t>1.000</w:t>
            </w:r>
          </w:p>
        </w:tc>
        <w:tc>
          <w:tcPr>
            <w:tcW w:w="1377" w:type="dxa"/>
          </w:tcPr>
          <w:p w14:paraId="43FEF6F9" w14:textId="179DC097" w:rsidR="00A66463" w:rsidRPr="0039297E" w:rsidRDefault="00A33D92" w:rsidP="00FB6E43">
            <w:pPr>
              <w:jc w:val="right"/>
            </w:pPr>
            <w:r w:rsidRPr="0039297E">
              <w:t>10.000</w:t>
            </w:r>
          </w:p>
        </w:tc>
      </w:tr>
      <w:tr w:rsidR="00A33D92" w:rsidRPr="0039297E" w14:paraId="0913F631" w14:textId="27559928" w:rsidTr="00A33D92">
        <w:tc>
          <w:tcPr>
            <w:tcW w:w="3466" w:type="dxa"/>
          </w:tcPr>
          <w:p w14:paraId="2A9154AA" w14:textId="1E6719A9" w:rsidR="00A33D92" w:rsidRPr="0039297E" w:rsidRDefault="00A33D92" w:rsidP="0006014A">
            <w:pPr>
              <w:rPr>
                <w:b/>
                <w:bCs/>
              </w:rPr>
            </w:pPr>
            <w:r w:rsidRPr="0039297E">
              <w:rPr>
                <w:b/>
                <w:bCs/>
              </w:rPr>
              <w:t>TOTAL</w:t>
            </w:r>
          </w:p>
        </w:tc>
        <w:tc>
          <w:tcPr>
            <w:tcW w:w="4173" w:type="dxa"/>
            <w:gridSpan w:val="3"/>
          </w:tcPr>
          <w:p w14:paraId="2469C76A" w14:textId="14DABB51" w:rsidR="00A33D92" w:rsidRPr="0039297E" w:rsidRDefault="00A33D92" w:rsidP="00FB6E43">
            <w:pPr>
              <w:jc w:val="right"/>
              <w:rPr>
                <w:b/>
                <w:bCs/>
              </w:rPr>
            </w:pPr>
          </w:p>
        </w:tc>
        <w:tc>
          <w:tcPr>
            <w:tcW w:w="1377" w:type="dxa"/>
          </w:tcPr>
          <w:p w14:paraId="19E1602F" w14:textId="27E08BA4" w:rsidR="00A33D92" w:rsidRPr="0039297E" w:rsidRDefault="00D50ADE" w:rsidP="00D50ADE">
            <w:pPr>
              <w:jc w:val="right"/>
              <w:rPr>
                <w:b/>
                <w:bCs/>
              </w:rPr>
            </w:pPr>
            <w:r w:rsidRPr="0039297E">
              <w:rPr>
                <w:b/>
                <w:bCs/>
              </w:rPr>
              <w:t>26.500</w:t>
            </w:r>
          </w:p>
        </w:tc>
      </w:tr>
    </w:tbl>
    <w:p w14:paraId="1F599216" w14:textId="77777777" w:rsidR="009C10F5" w:rsidRPr="009C10F5" w:rsidRDefault="009C10F5" w:rsidP="0006014A">
      <w:pPr>
        <w:spacing w:after="0" w:line="240" w:lineRule="auto"/>
        <w:rPr>
          <w:sz w:val="24"/>
          <w:szCs w:val="24"/>
        </w:rPr>
      </w:pPr>
    </w:p>
    <w:p w14:paraId="44285885" w14:textId="5F6249C5" w:rsidR="00011B84" w:rsidRDefault="00011B84" w:rsidP="0006014A">
      <w:pPr>
        <w:spacing w:after="0" w:line="240" w:lineRule="auto"/>
        <w:rPr>
          <w:sz w:val="24"/>
          <w:szCs w:val="24"/>
        </w:rPr>
      </w:pPr>
      <w:r w:rsidRPr="0006014A">
        <w:rPr>
          <w:b/>
          <w:bCs/>
          <w:sz w:val="24"/>
          <w:szCs w:val="24"/>
        </w:rPr>
        <w:t xml:space="preserve">Selectarea categoriei: </w:t>
      </w:r>
      <w:r w:rsidRPr="008D7843">
        <w:rPr>
          <w:sz w:val="24"/>
          <w:szCs w:val="24"/>
        </w:rPr>
        <w:t>Spații verzi și locuri de joacă</w:t>
      </w:r>
    </w:p>
    <w:p w14:paraId="58B4FC88" w14:textId="77777777" w:rsidR="00E1652E" w:rsidRPr="0006014A" w:rsidRDefault="00E1652E" w:rsidP="0006014A">
      <w:pPr>
        <w:spacing w:after="0" w:line="240" w:lineRule="auto"/>
        <w:rPr>
          <w:b/>
          <w:bCs/>
          <w:sz w:val="24"/>
          <w:szCs w:val="24"/>
        </w:rPr>
      </w:pPr>
    </w:p>
    <w:p w14:paraId="26D77C08" w14:textId="09D5D885" w:rsidR="008D7843" w:rsidRPr="00754B14" w:rsidRDefault="00932CE4" w:rsidP="00754B14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Localizare proiect:</w:t>
      </w:r>
      <w:r w:rsidR="00754B14">
        <w:rPr>
          <w:sz w:val="24"/>
          <w:szCs w:val="24"/>
        </w:rPr>
        <w:t xml:space="preserve"> În funcție de publicul deservit, vor fi selectate 10 locații din diferite carti</w:t>
      </w:r>
      <w:r w:rsidR="002F4907">
        <w:rPr>
          <w:sz w:val="24"/>
          <w:szCs w:val="24"/>
        </w:rPr>
        <w:t>e</w:t>
      </w:r>
      <w:r w:rsidR="00754B14">
        <w:rPr>
          <w:sz w:val="24"/>
          <w:szCs w:val="24"/>
        </w:rPr>
        <w:t>re ale municipiului Cluj-Napoca</w:t>
      </w:r>
      <w:r w:rsidR="001A61DC">
        <w:rPr>
          <w:sz w:val="24"/>
          <w:szCs w:val="24"/>
        </w:rPr>
        <w:t xml:space="preserve"> unde vor fi implementate cișmelele. </w:t>
      </w:r>
    </w:p>
    <w:p w14:paraId="6A45437F" w14:textId="77777777" w:rsidR="00932CE4" w:rsidRDefault="00932CE4" w:rsidP="0006014A">
      <w:pPr>
        <w:spacing w:after="0" w:line="240" w:lineRule="auto"/>
        <w:rPr>
          <w:b/>
          <w:bCs/>
          <w:sz w:val="24"/>
          <w:szCs w:val="24"/>
        </w:rPr>
      </w:pPr>
    </w:p>
    <w:p w14:paraId="070ADDF1" w14:textId="41A18942" w:rsidR="00011B84" w:rsidRDefault="00011B84" w:rsidP="0006014A">
      <w:pPr>
        <w:spacing w:after="0" w:line="240" w:lineRule="auto"/>
        <w:rPr>
          <w:b/>
          <w:bCs/>
          <w:sz w:val="24"/>
          <w:szCs w:val="24"/>
        </w:rPr>
      </w:pPr>
      <w:r w:rsidRPr="0006014A">
        <w:rPr>
          <w:b/>
          <w:bCs/>
          <w:sz w:val="24"/>
          <w:szCs w:val="24"/>
        </w:rPr>
        <w:t>Anexe</w:t>
      </w:r>
      <w:r w:rsidR="008D7843">
        <w:rPr>
          <w:b/>
          <w:bCs/>
          <w:sz w:val="24"/>
          <w:szCs w:val="24"/>
        </w:rPr>
        <w:t>:</w:t>
      </w:r>
    </w:p>
    <w:p w14:paraId="6D1B6E6F" w14:textId="7E3B4D94" w:rsidR="008D7843" w:rsidRDefault="008D7843" w:rsidP="008D78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D7843">
        <w:rPr>
          <w:sz w:val="24"/>
          <w:szCs w:val="24"/>
        </w:rPr>
        <w:t>Model orientativ</w:t>
      </w:r>
      <w:r>
        <w:rPr>
          <w:sz w:val="24"/>
          <w:szCs w:val="24"/>
        </w:rPr>
        <w:t xml:space="preserve"> cișmea dreptunghiulară</w:t>
      </w:r>
    </w:p>
    <w:p w14:paraId="441C1CED" w14:textId="25CE8C10" w:rsidR="00932CE4" w:rsidRPr="008D7843" w:rsidRDefault="00932CE4" w:rsidP="008D78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Propunere proiect</w:t>
      </w:r>
    </w:p>
    <w:p w14:paraId="0EDCFB58" w14:textId="4EA30FBF" w:rsidR="008D7843" w:rsidRDefault="008D7843" w:rsidP="0006014A">
      <w:pPr>
        <w:spacing w:after="0" w:line="240" w:lineRule="auto"/>
        <w:rPr>
          <w:b/>
          <w:bCs/>
          <w:sz w:val="24"/>
          <w:szCs w:val="24"/>
        </w:rPr>
      </w:pPr>
    </w:p>
    <w:p w14:paraId="609FF5BD" w14:textId="0C44B25D" w:rsidR="008D7843" w:rsidRDefault="008D7843" w:rsidP="0006014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Referințe bibliografice:</w:t>
      </w:r>
    </w:p>
    <w:p w14:paraId="2DC48C75" w14:textId="472C8FC5" w:rsidR="0097010B" w:rsidRDefault="0097010B" w:rsidP="0097010B">
      <w:pPr>
        <w:spacing w:after="0" w:line="240" w:lineRule="auto"/>
        <w:ind w:left="709" w:hanging="709"/>
        <w:jc w:val="both"/>
      </w:pPr>
      <w:r>
        <w:t xml:space="preserve">Croitoru Adina (2020), </w:t>
      </w:r>
      <w:r w:rsidRPr="0097010B">
        <w:rPr>
          <w:i/>
          <w:iCs/>
        </w:rPr>
        <w:t>Schimbările climatice și insulele de căldură urbană la nivelul Zonei Metropolitane Cluj-Napoca</w:t>
      </w:r>
      <w:r>
        <w:t xml:space="preserve">, prezentare susținută în cadrul Primăriei Cluj-Napoca, </w:t>
      </w:r>
      <w:r w:rsidRPr="0097010B">
        <w:t>https://files.primariaclujnapoca.ro/2020/07/15/Prezentare-schimbari-climatice.pdf</w:t>
      </w:r>
    </w:p>
    <w:p w14:paraId="18926567" w14:textId="52E51DC4" w:rsidR="003E7F20" w:rsidRDefault="003E7F20" w:rsidP="003E7F20">
      <w:pPr>
        <w:spacing w:after="0" w:line="240" w:lineRule="auto"/>
        <w:ind w:left="709" w:hanging="709"/>
        <w:jc w:val="both"/>
      </w:pPr>
      <w:r>
        <w:t>Feldman MJ, Imbeau L, Marchand P, Mazerolle MJ, Darveau M, Fenton NJ (2021), T</w:t>
      </w:r>
      <w:r w:rsidRPr="003E7F20">
        <w:rPr>
          <w:i/>
          <w:iCs/>
        </w:rPr>
        <w:t>rends and gaps in the use of citizen science</w:t>
      </w:r>
      <w:r>
        <w:rPr>
          <w:i/>
          <w:iCs/>
        </w:rPr>
        <w:t xml:space="preserve"> </w:t>
      </w:r>
      <w:r w:rsidRPr="003E7F20">
        <w:rPr>
          <w:i/>
          <w:iCs/>
        </w:rPr>
        <w:t>derived data as input for species distribution</w:t>
      </w:r>
      <w:r>
        <w:rPr>
          <w:i/>
          <w:iCs/>
        </w:rPr>
        <w:t xml:space="preserve"> </w:t>
      </w:r>
      <w:r w:rsidRPr="003E7F20">
        <w:rPr>
          <w:i/>
          <w:iCs/>
        </w:rPr>
        <w:t>models: A quantitative revie</w:t>
      </w:r>
      <w:r>
        <w:t xml:space="preserve">w. PLoS ONE 16(3): e0234587. </w:t>
      </w:r>
      <w:r w:rsidRPr="003E7F20">
        <w:t>https://doi.org/10.1371/journal.pone.0234587</w:t>
      </w:r>
    </w:p>
    <w:p w14:paraId="29809632" w14:textId="5CD70204" w:rsidR="00954453" w:rsidRDefault="00954453" w:rsidP="003E7F20">
      <w:pPr>
        <w:spacing w:after="0" w:line="240" w:lineRule="auto"/>
        <w:ind w:left="709" w:hanging="709"/>
        <w:jc w:val="both"/>
      </w:pPr>
      <w:r w:rsidRPr="00954453">
        <w:t>Fruhling A., Bartelt-Hunt S.L., Kolok A. (2019)</w:t>
      </w:r>
      <w:r>
        <w:t>,</w:t>
      </w:r>
      <w:r w:rsidRPr="00954453">
        <w:t xml:space="preserve"> E</w:t>
      </w:r>
      <w:r w:rsidRPr="00954453">
        <w:rPr>
          <w:i/>
          <w:iCs/>
        </w:rPr>
        <w:t>valuating Citizen Scientists’ User Experience and Engagement Using a Mobile Watershed Data Management App</w:t>
      </w:r>
      <w:r w:rsidRPr="00954453">
        <w:t>. In: Stephanidis, C. (eds) HCI International 2019 – Late Breaking Papers. HCII 2019. Lecture Notes in Computer Science(), vol 11786. Springer, Cham. https://doi.org/10.1007/978-3-030-30033-3_42</w:t>
      </w:r>
      <w:r>
        <w:t>.</w:t>
      </w:r>
    </w:p>
    <w:p w14:paraId="427B62B1" w14:textId="2F3BF05B" w:rsidR="008D7843" w:rsidRDefault="008A27AC" w:rsidP="0097010B">
      <w:pPr>
        <w:spacing w:after="0" w:line="240" w:lineRule="auto"/>
        <w:ind w:left="709" w:hanging="709"/>
        <w:jc w:val="both"/>
      </w:pPr>
      <w:r w:rsidRPr="00F372AD">
        <w:t xml:space="preserve">Herbel Ioana (2020), </w:t>
      </w:r>
      <w:r w:rsidRPr="00F372AD">
        <w:rPr>
          <w:i/>
          <w:iCs/>
        </w:rPr>
        <w:t>Insula de căldură urbană în municipiul Cluj-Napoca. Evaluare și modalități durabile de combatere</w:t>
      </w:r>
      <w:r w:rsidRPr="00F372AD">
        <w:t>, Universitatea „Babeș-Bolyai" Cluj-Napoca, Facultatea de Geografie, Școala Doctorală de Geografie, teză de doctorat.</w:t>
      </w:r>
    </w:p>
    <w:p w14:paraId="6B91AD11" w14:textId="7BADB940" w:rsidR="001A3E6B" w:rsidRDefault="00577735" w:rsidP="001A3E6B">
      <w:pPr>
        <w:spacing w:after="0" w:line="240" w:lineRule="auto"/>
        <w:ind w:left="709" w:hanging="709"/>
        <w:jc w:val="both"/>
      </w:pPr>
      <w:r>
        <w:t>Guvernul României (2018), S</w:t>
      </w:r>
      <w:r w:rsidRPr="00577735">
        <w:rPr>
          <w:i/>
          <w:iCs/>
        </w:rPr>
        <w:t>trategia Națională pentru Dezvoltarea durabilă a României 2030</w:t>
      </w:r>
      <w:r>
        <w:t xml:space="preserve">, Edit. Paideia, </w:t>
      </w:r>
      <w:r w:rsidR="001A3E6B" w:rsidRPr="001A3E6B">
        <w:t>https://www.edu.ro/sites/default/files/Strategia-nationala-pentru-dezvoltarea-durabila-a-Rom%C3%A2niei-2030.pdf</w:t>
      </w:r>
      <w:r w:rsidR="001A3E6B">
        <w:t>.</w:t>
      </w:r>
    </w:p>
    <w:p w14:paraId="32C868FF" w14:textId="68550CC8" w:rsidR="001A3E6B" w:rsidRDefault="001A3E6B" w:rsidP="001A3E6B">
      <w:pPr>
        <w:spacing w:after="0" w:line="240" w:lineRule="auto"/>
        <w:ind w:left="709" w:hanging="709"/>
        <w:jc w:val="both"/>
        <w:rPr>
          <w:rFonts w:eastAsia="Times New Roman" w:cstheme="minorHAnsi"/>
          <w:lang w:eastAsia="ro-RO"/>
        </w:rPr>
      </w:pPr>
      <w:r w:rsidRPr="001A3E6B">
        <w:rPr>
          <w:rFonts w:cstheme="minorHAnsi"/>
        </w:rPr>
        <w:t xml:space="preserve">Manouchehri M., Kiavarz Moghaddam M. (2017), </w:t>
      </w:r>
      <w:r w:rsidRPr="001A3E6B">
        <w:rPr>
          <w:rFonts w:cstheme="minorHAnsi"/>
          <w:i/>
          <w:iCs/>
        </w:rPr>
        <w:t>Volunteered Geographic Information (vgi) and Environmental Monitoring, a New Approach in Developing Countries</w:t>
      </w:r>
      <w:r w:rsidRPr="001A3E6B">
        <w:rPr>
          <w:rFonts w:cstheme="minorHAnsi"/>
        </w:rPr>
        <w:t>,</w:t>
      </w:r>
      <w:r w:rsidRPr="001A3E6B">
        <w:rPr>
          <w:rFonts w:cstheme="minorHAnsi"/>
          <w:b/>
          <w:bCs/>
        </w:rPr>
        <w:t xml:space="preserve"> </w:t>
      </w:r>
      <w:r w:rsidRPr="001A3E6B">
        <w:rPr>
          <w:rFonts w:eastAsia="Times New Roman" w:cstheme="minorHAnsi"/>
          <w:lang w:eastAsia="ro-RO"/>
        </w:rPr>
        <w:t>ISPRS International Archives of the Photogrammetry, Remote Sensing and Spatial Information Sciences, volume XLII-4/W4,.401-405, doi: 10.5194/isprs-archives-XLII-4-W4-401-2017</w:t>
      </w:r>
      <w:r>
        <w:rPr>
          <w:rFonts w:eastAsia="Times New Roman" w:cstheme="minorHAnsi"/>
          <w:lang w:eastAsia="ro-RO"/>
        </w:rPr>
        <w:t>.</w:t>
      </w:r>
    </w:p>
    <w:p w14:paraId="21D8492C" w14:textId="61C43359" w:rsidR="005D7DF4" w:rsidRPr="001A3E6B" w:rsidRDefault="005D7DF4" w:rsidP="001A3E6B">
      <w:pPr>
        <w:spacing w:after="0" w:line="240" w:lineRule="auto"/>
        <w:ind w:left="709" w:hanging="709"/>
        <w:jc w:val="both"/>
        <w:rPr>
          <w:rFonts w:eastAsia="Times New Roman" w:cstheme="minorHAnsi"/>
          <w:lang w:eastAsia="ro-RO"/>
        </w:rPr>
      </w:pPr>
      <w:r>
        <w:t xml:space="preserve">van den Homberg M, Crince A, Wilbrink J, Kersbergen D, Gumbi G, Tembo S, Lemmens R. (2020), </w:t>
      </w:r>
      <w:r w:rsidRPr="005D7DF4">
        <w:rPr>
          <w:i/>
          <w:iCs/>
        </w:rPr>
        <w:t>Combining UAV Imagery, Volunteered Geographic Information, and Field Survey Data to Improve Characterization of Rural Water Points in Malaw</w:t>
      </w:r>
      <w:r>
        <w:t>i.</w:t>
      </w:r>
      <w:r w:rsidRPr="005D7DF4">
        <w:rPr>
          <w:i/>
          <w:iCs/>
        </w:rPr>
        <w:t xml:space="preserve"> </w:t>
      </w:r>
      <w:r w:rsidRPr="005D7DF4">
        <w:rPr>
          <w:rStyle w:val="Emphasis"/>
          <w:i w:val="0"/>
          <w:iCs w:val="0"/>
        </w:rPr>
        <w:t>ISPRS International Journal of Geo-Information</w:t>
      </w:r>
      <w:r>
        <w:rPr>
          <w:i/>
          <w:iCs/>
        </w:rPr>
        <w:t xml:space="preserve"> </w:t>
      </w:r>
      <w:r>
        <w:t>9(10):592. https://doi.org/10.3390/ijgi9100592.</w:t>
      </w:r>
    </w:p>
    <w:p w14:paraId="329B6B67" w14:textId="4D70BEED" w:rsidR="00011B84" w:rsidRPr="0006014A" w:rsidRDefault="00011B84" w:rsidP="0006014A">
      <w:pPr>
        <w:spacing w:after="0" w:line="240" w:lineRule="auto"/>
        <w:rPr>
          <w:b/>
          <w:bCs/>
          <w:sz w:val="24"/>
          <w:szCs w:val="24"/>
        </w:rPr>
      </w:pPr>
    </w:p>
    <w:p w14:paraId="635ACC31" w14:textId="77777777" w:rsidR="00011B84" w:rsidRDefault="00011B84"/>
    <w:sectPr w:rsidR="00011B84" w:rsidSect="006D5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396F" w14:textId="77777777" w:rsidR="00B31C69" w:rsidRDefault="00B31C69" w:rsidP="008A27AC">
      <w:pPr>
        <w:spacing w:after="0" w:line="240" w:lineRule="auto"/>
      </w:pPr>
      <w:r>
        <w:separator/>
      </w:r>
    </w:p>
  </w:endnote>
  <w:endnote w:type="continuationSeparator" w:id="0">
    <w:p w14:paraId="338E6853" w14:textId="77777777" w:rsidR="00B31C69" w:rsidRDefault="00B31C69" w:rsidP="008A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170F" w14:textId="77777777" w:rsidR="00B31C69" w:rsidRDefault="00B31C69" w:rsidP="008A27AC">
      <w:pPr>
        <w:spacing w:after="0" w:line="240" w:lineRule="auto"/>
      </w:pPr>
      <w:r>
        <w:separator/>
      </w:r>
    </w:p>
  </w:footnote>
  <w:footnote w:type="continuationSeparator" w:id="0">
    <w:p w14:paraId="54B12EA4" w14:textId="77777777" w:rsidR="00B31C69" w:rsidRDefault="00B31C69" w:rsidP="008A27AC">
      <w:pPr>
        <w:spacing w:after="0" w:line="240" w:lineRule="auto"/>
      </w:pPr>
      <w:r>
        <w:continuationSeparator/>
      </w:r>
    </w:p>
  </w:footnote>
  <w:footnote w:id="1">
    <w:p w14:paraId="498BB0C3" w14:textId="4BDCE270" w:rsidR="00E558E1" w:rsidRDefault="00E558E1">
      <w:pPr>
        <w:pStyle w:val="FootnoteText"/>
      </w:pPr>
      <w:r>
        <w:rPr>
          <w:rStyle w:val="FootnoteReference"/>
        </w:rPr>
        <w:footnoteRef/>
      </w:r>
      <w:r>
        <w:t xml:space="preserve"> Guvernul României (2018).</w:t>
      </w:r>
    </w:p>
  </w:footnote>
  <w:footnote w:id="2">
    <w:p w14:paraId="430928EC" w14:textId="67D5E96F" w:rsidR="00E558E1" w:rsidRDefault="00E558E1" w:rsidP="009960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26DAD">
        <w:t xml:space="preserve">O serie de articole de presă locale notifică </w:t>
      </w:r>
      <w:r w:rsidR="00B33D2B">
        <w:t xml:space="preserve">necesitatea recondiționării/implementării unor fântâni arteziene și cișmele: </w:t>
      </w:r>
      <w:hyperlink r:id="rId1" w:history="1">
        <w:r w:rsidR="00996050" w:rsidRPr="00A90468">
          <w:rPr>
            <w:rStyle w:val="Hyperlink"/>
          </w:rPr>
          <w:t>https://cluj24.ro/foto-ce-vor-clujenii-reconditionarea-fostelor-cismele-cu-apa-din-centrul-orasului-103878.html</w:t>
        </w:r>
      </w:hyperlink>
      <w:r w:rsidR="00B33D2B">
        <w:t xml:space="preserve">, </w:t>
      </w:r>
      <w:hyperlink r:id="rId2" w:history="1">
        <w:r w:rsidR="00B33D2B">
          <w:rPr>
            <w:rStyle w:val="Hyperlink"/>
          </w:rPr>
          <w:t>Primaria plateste 1,6 milioane lei pentru intretinerea fantanilor arteziene si a cismelelor - ZiardeCluj.ro</w:t>
        </w:r>
      </w:hyperlink>
      <w:r w:rsidR="00B33D2B">
        <w:t>.</w:t>
      </w:r>
    </w:p>
  </w:footnote>
  <w:footnote w:id="3">
    <w:p w14:paraId="7DE8C6CE" w14:textId="118CC140" w:rsidR="00954453" w:rsidRDefault="009544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D7DF4" w:rsidRPr="005D7DF4">
        <w:t xml:space="preserve">Manouchehri </w:t>
      </w:r>
      <w:r w:rsidR="005D7DF4">
        <w:t xml:space="preserve">et al. (2017), </w:t>
      </w:r>
      <w:r w:rsidR="003E7F20">
        <w:t xml:space="preserve">Fruhling et al. (2019), </w:t>
      </w:r>
      <w:r w:rsidR="005D7DF4" w:rsidRPr="005D7DF4">
        <w:t xml:space="preserve">van den Homberg </w:t>
      </w:r>
      <w:r w:rsidR="005D7DF4">
        <w:t xml:space="preserve">et al. (2020), </w:t>
      </w:r>
      <w:r w:rsidR="003E7F20">
        <w:t>Feldman et al. (2021)</w:t>
      </w:r>
      <w:r w:rsidR="005D7DF4">
        <w:t>.</w:t>
      </w:r>
    </w:p>
  </w:footnote>
  <w:footnote w:id="4">
    <w:p w14:paraId="347E3A3A" w14:textId="43983618" w:rsidR="008A27AC" w:rsidRDefault="008A27AC" w:rsidP="008A27AC">
      <w:pPr>
        <w:pStyle w:val="FootnoteText"/>
        <w:jc w:val="both"/>
      </w:pPr>
      <w:r w:rsidRPr="008A27AC">
        <w:rPr>
          <w:rStyle w:val="FootnoteReference"/>
          <w:rFonts w:cstheme="minorHAnsi"/>
        </w:rPr>
        <w:footnoteRef/>
      </w:r>
      <w:r w:rsidRPr="008A27AC">
        <w:rPr>
          <w:rFonts w:cstheme="minorHAnsi"/>
        </w:rPr>
        <w:t xml:space="preserve"> Herbel I</w:t>
      </w:r>
      <w:r>
        <w:rPr>
          <w:rFonts w:cstheme="minorHAnsi"/>
        </w:rPr>
        <w:t>.</w:t>
      </w:r>
      <w:r w:rsidRPr="008A27AC">
        <w:rPr>
          <w:rFonts w:cstheme="minorHAnsi"/>
        </w:rPr>
        <w:t xml:space="preserve"> (2020)</w:t>
      </w:r>
      <w:r w:rsidR="0097010B">
        <w:rPr>
          <w:rFonts w:cstheme="minorHAnsi"/>
        </w:rPr>
        <w:t>; Croitoru A. (2020).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761A3"/>
    <w:multiLevelType w:val="hybridMultilevel"/>
    <w:tmpl w:val="0262D2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31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wMzMxMLS0sDSyMDZX0lEKTi0uzszPAykwqQUA00QA+CwAAAA="/>
  </w:docVars>
  <w:rsids>
    <w:rsidRoot w:val="006A4D6F"/>
    <w:rsid w:val="00011B84"/>
    <w:rsid w:val="000206DF"/>
    <w:rsid w:val="0006014A"/>
    <w:rsid w:val="000D638E"/>
    <w:rsid w:val="000D689A"/>
    <w:rsid w:val="001A23C2"/>
    <w:rsid w:val="001A3E6B"/>
    <w:rsid w:val="001A61DC"/>
    <w:rsid w:val="001E3365"/>
    <w:rsid w:val="002A1645"/>
    <w:rsid w:val="002F4907"/>
    <w:rsid w:val="002F7161"/>
    <w:rsid w:val="0039297E"/>
    <w:rsid w:val="003C456D"/>
    <w:rsid w:val="003E7F20"/>
    <w:rsid w:val="00423F3A"/>
    <w:rsid w:val="00426909"/>
    <w:rsid w:val="004342D4"/>
    <w:rsid w:val="00446192"/>
    <w:rsid w:val="004C564A"/>
    <w:rsid w:val="00534CED"/>
    <w:rsid w:val="00577735"/>
    <w:rsid w:val="00583D3A"/>
    <w:rsid w:val="00591C4F"/>
    <w:rsid w:val="005C22ED"/>
    <w:rsid w:val="005C5600"/>
    <w:rsid w:val="005D7DF4"/>
    <w:rsid w:val="005E1740"/>
    <w:rsid w:val="005E1B6D"/>
    <w:rsid w:val="005F7FF3"/>
    <w:rsid w:val="006435B6"/>
    <w:rsid w:val="00662A2E"/>
    <w:rsid w:val="00664AC7"/>
    <w:rsid w:val="006A4D6F"/>
    <w:rsid w:val="006D5E0B"/>
    <w:rsid w:val="007011F6"/>
    <w:rsid w:val="00701E4C"/>
    <w:rsid w:val="00711E6B"/>
    <w:rsid w:val="00722855"/>
    <w:rsid w:val="00730714"/>
    <w:rsid w:val="00754B14"/>
    <w:rsid w:val="00764598"/>
    <w:rsid w:val="00782B26"/>
    <w:rsid w:val="00816398"/>
    <w:rsid w:val="00892B16"/>
    <w:rsid w:val="008A27AC"/>
    <w:rsid w:val="008D7843"/>
    <w:rsid w:val="00903A12"/>
    <w:rsid w:val="00932CE4"/>
    <w:rsid w:val="00954453"/>
    <w:rsid w:val="0097010B"/>
    <w:rsid w:val="00996050"/>
    <w:rsid w:val="009C10F5"/>
    <w:rsid w:val="00A0070A"/>
    <w:rsid w:val="00A33D92"/>
    <w:rsid w:val="00A37C79"/>
    <w:rsid w:val="00A66463"/>
    <w:rsid w:val="00AC7E7E"/>
    <w:rsid w:val="00B31C69"/>
    <w:rsid w:val="00B33060"/>
    <w:rsid w:val="00B33D2B"/>
    <w:rsid w:val="00B52570"/>
    <w:rsid w:val="00C26DAD"/>
    <w:rsid w:val="00C32918"/>
    <w:rsid w:val="00C74230"/>
    <w:rsid w:val="00CD75F1"/>
    <w:rsid w:val="00D1657A"/>
    <w:rsid w:val="00D36BA4"/>
    <w:rsid w:val="00D50ADE"/>
    <w:rsid w:val="00D77F9F"/>
    <w:rsid w:val="00D834BB"/>
    <w:rsid w:val="00D8778A"/>
    <w:rsid w:val="00D92FC6"/>
    <w:rsid w:val="00DB4F1F"/>
    <w:rsid w:val="00DC3791"/>
    <w:rsid w:val="00DE0637"/>
    <w:rsid w:val="00DF2933"/>
    <w:rsid w:val="00DF7DE5"/>
    <w:rsid w:val="00E1652E"/>
    <w:rsid w:val="00E232A5"/>
    <w:rsid w:val="00E558E1"/>
    <w:rsid w:val="00E64E4E"/>
    <w:rsid w:val="00E66B15"/>
    <w:rsid w:val="00EB361E"/>
    <w:rsid w:val="00F2432A"/>
    <w:rsid w:val="00F372AD"/>
    <w:rsid w:val="00FA7D86"/>
    <w:rsid w:val="00FB3C10"/>
    <w:rsid w:val="00FB6E43"/>
    <w:rsid w:val="00FB7BDB"/>
    <w:rsid w:val="00FD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F31E6"/>
  <w15:chartTrackingRefBased/>
  <w15:docId w15:val="{816BB061-A4B7-4002-B0B5-AD3BAB85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84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A27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7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27A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33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D2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D7D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ziardecluj.ro/primaria-plateste-16-milioane-lei-pentru-intretinerea-fantanilor-arteziene-si-a-cismelelor/" TargetMode="External"/><Relationship Id="rId1" Type="http://schemas.openxmlformats.org/officeDocument/2006/relationships/hyperlink" Target="https://cluj24.ro/foto-ce-vor-clujenii-reconditionarea-fostelor-cismele-cu-apa-din-centrul-orasului-10387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F1616-D7F1-4330-B4D0-EF1003C8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745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Ana-Maria Pop</dc:creator>
  <cp:keywords/>
  <dc:description/>
  <cp:lastModifiedBy>RAZVAN-HORATIU BATINAS</cp:lastModifiedBy>
  <cp:revision>87</cp:revision>
  <dcterms:created xsi:type="dcterms:W3CDTF">2022-06-30T12:39:00Z</dcterms:created>
  <dcterms:modified xsi:type="dcterms:W3CDTF">2022-07-01T09:55:00Z</dcterms:modified>
</cp:coreProperties>
</file>